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8D1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770CE6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8D1">
        <w:rPr>
          <w:rFonts w:ascii="Times New Roman" w:hAnsi="Times New Roman" w:cs="Times New Roman"/>
          <w:b/>
          <w:sz w:val="28"/>
          <w:szCs w:val="28"/>
        </w:rPr>
        <w:t xml:space="preserve">Межрегионального контрольно-ревизионного управления 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8D1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8D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2D38D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D38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 w:rsidRPr="002D38D1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04EA8" w:rsidRPr="002D38D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84AC8" w:rsidRPr="002D38D1">
        <w:rPr>
          <w:rFonts w:ascii="Times New Roman" w:hAnsi="Times New Roman" w:cs="Times New Roman"/>
          <w:b/>
          <w:sz w:val="28"/>
          <w:szCs w:val="28"/>
        </w:rPr>
        <w:t>4</w:t>
      </w:r>
      <w:r w:rsidRPr="002D38D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676DC" w:rsidRPr="002D38D1" w:rsidRDefault="005676DC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 xml:space="preserve">казначейства/Федеральному казенному учреждению </w:t>
      </w:r>
      <w:r w:rsidR="00770CE6" w:rsidRPr="002D38D1">
        <w:rPr>
          <w:rFonts w:ascii="Times New Roman" w:hAnsi="Times New Roman" w:cs="Times New Roman"/>
          <w:sz w:val="28"/>
          <w:szCs w:val="28"/>
        </w:rPr>
        <w:t>«</w:t>
      </w:r>
      <w:r w:rsidRPr="002D38D1">
        <w:rPr>
          <w:rFonts w:ascii="Times New Roman" w:hAnsi="Times New Roman" w:cs="Times New Roman"/>
          <w:sz w:val="28"/>
          <w:szCs w:val="28"/>
        </w:rPr>
        <w:t>Центр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</w:t>
      </w:r>
      <w:r w:rsidR="00770CE6" w:rsidRPr="002D38D1">
        <w:rPr>
          <w:rFonts w:ascii="Times New Roman" w:hAnsi="Times New Roman" w:cs="Times New Roman"/>
          <w:sz w:val="28"/>
          <w:szCs w:val="28"/>
        </w:rPr>
        <w:t>»</w:t>
      </w:r>
    </w:p>
    <w:p w:rsidR="005676DC" w:rsidRPr="002D38D1" w:rsidRDefault="005676DC" w:rsidP="005676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C1259" w:rsidRPr="002D38D1" w:rsidRDefault="00051E69" w:rsidP="00EA01D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 xml:space="preserve">1.1. </w:t>
      </w:r>
      <w:r w:rsidR="00AC1259" w:rsidRPr="002D38D1">
        <w:rPr>
          <w:rFonts w:ascii="Times New Roman" w:hAnsi="Times New Roman" w:cs="Times New Roman"/>
          <w:sz w:val="28"/>
          <w:szCs w:val="28"/>
        </w:rPr>
        <w:t xml:space="preserve">Дело по обжалованию </w:t>
      </w:r>
      <w:r w:rsidR="00BF6D86" w:rsidRPr="002D38D1">
        <w:rPr>
          <w:rFonts w:ascii="Times New Roman" w:hAnsi="Times New Roman" w:cs="Times New Roman"/>
          <w:sz w:val="28"/>
          <w:szCs w:val="28"/>
        </w:rPr>
        <w:t>предписаний</w:t>
      </w:r>
      <w:r w:rsidR="00AC1259" w:rsidRPr="002D38D1">
        <w:rPr>
          <w:rFonts w:ascii="Times New Roman" w:hAnsi="Times New Roman" w:cs="Times New Roman"/>
          <w:sz w:val="28"/>
          <w:szCs w:val="28"/>
        </w:rPr>
        <w:t xml:space="preserve">, </w:t>
      </w:r>
      <w:r w:rsidR="00BF6D86" w:rsidRPr="002D38D1">
        <w:rPr>
          <w:rFonts w:ascii="Times New Roman" w:hAnsi="Times New Roman" w:cs="Times New Roman"/>
          <w:sz w:val="28"/>
          <w:szCs w:val="28"/>
        </w:rPr>
        <w:t>выданных</w:t>
      </w:r>
      <w:r w:rsidR="00AC1259" w:rsidRPr="002D38D1">
        <w:rPr>
          <w:rFonts w:ascii="Times New Roman" w:hAnsi="Times New Roman" w:cs="Times New Roman"/>
          <w:sz w:val="28"/>
          <w:szCs w:val="28"/>
        </w:rPr>
        <w:t xml:space="preserve"> объектам контроля.</w:t>
      </w:r>
    </w:p>
    <w:p w:rsidR="00AC1259" w:rsidRPr="002D38D1" w:rsidRDefault="00AC1259" w:rsidP="00AC12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04"/>
      </w:tblGrid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2D38D1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42" w:rsidRPr="002D38D1" w:rsidRDefault="002D3E42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ходе проведенного </w:t>
            </w:r>
            <w:r w:rsidR="00AB6E35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Межрегиональн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ым</w:t>
            </w:r>
            <w:r w:rsidR="00AB6E35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контрольно-ревизионн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ым</w:t>
            </w:r>
            <w:r w:rsidR="00AB6E35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управлени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ем</w:t>
            </w:r>
            <w:r w:rsidR="00AB6E35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Федерального казначейства (далее –</w:t>
            </w:r>
            <w:r w:rsidR="007B2F8D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B6E35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Управление, МКРУ ФК)</w:t>
            </w:r>
            <w:r w:rsidR="00AC1259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контрольного мероприятия в деятельности Федерального казенного учреждения «</w:t>
            </w:r>
            <w:r w:rsidRPr="002D38D1">
              <w:rPr>
                <w:rFonts w:ascii="Times New Roman" w:hAnsi="Times New Roman"/>
                <w:sz w:val="28"/>
                <w:szCs w:val="28"/>
              </w:rPr>
              <w:t>«Дирекция государственного заказчика по реализации комплексных проектов развития транспортной инфраструктуры» (далее – ФКУ «Ространсмодернизация», заявитель, объект контроля, заказчик) выявлены нарушения положений Бюджетного кодекса Российской Федерации,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государственных контрактов, выразившихся</w:t>
            </w:r>
            <w:r w:rsidR="00DD7DDD" w:rsidRPr="002D38D1">
              <w:rPr>
                <w:rFonts w:ascii="Times New Roman" w:hAnsi="Times New Roman"/>
                <w:sz w:val="28"/>
                <w:szCs w:val="28"/>
              </w:rPr>
              <w:t xml:space="preserve"> в частности</w:t>
            </w:r>
            <w:r w:rsidRPr="002D38D1">
              <w:rPr>
                <w:rFonts w:ascii="Times New Roman" w:hAnsi="Times New Roman"/>
                <w:sz w:val="28"/>
                <w:szCs w:val="28"/>
              </w:rPr>
              <w:t xml:space="preserve"> в неправомерном расходовании средств федерального бюджета, а именно:</w:t>
            </w:r>
          </w:p>
          <w:p w:rsidR="002D3E42" w:rsidRPr="002D38D1" w:rsidRDefault="002D3E42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- приняты и оплачены материалы (трубы стальные электросварные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прямошовные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 наружный диаметр 1420 мм, толщина стенки 20 мм) на сумму 182 252 140,00 рублей, стоимость которых превышает стоимость, установленную проектно-сметной документацией;</w:t>
            </w:r>
          </w:p>
          <w:p w:rsidR="002D3E42" w:rsidRPr="002D38D1" w:rsidRDefault="002D3E42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- приняты и оплачены материалы (пролетные строения мостов) на сумму 94 178 581,00 рублей, стоимость которых превышает стоимость, установленную проектно-сметной документацией</w:t>
            </w:r>
            <w:r w:rsidR="00DD7DDD" w:rsidRPr="002D38D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7DDD" w:rsidRPr="002D38D1" w:rsidRDefault="00DD7DDD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- приняты и оплачены непредвиденные затраты на сумму 124 470 137,45 рубля (страхование строительных рисков; демонтаж зданий и сооружений, неучтенных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стройгенпланом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; подготовку заключения по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lastRenderedPageBreak/>
              <w:t>методологическому сопровождению принятия технологических решений в рамках проекта «Комплексное развитие Мурманского транспортного узла»; затрат на аренду перевалочных баз и складских помещений; превышения проектного объема работ по производству буровзрывных работ на 3660,66 м3; затрат на аренду перевалочных баз; затрат на перебазировку машин и механизмов) в отсутствие документов, фиксирующих объемы фактически выполненных работ и обосновывающих расчетов данной стоимости;</w:t>
            </w:r>
          </w:p>
          <w:p w:rsidR="00DD7DDD" w:rsidRPr="002D38D1" w:rsidRDefault="00DD7DDD" w:rsidP="00DD7DDD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- приняты и оплачены материалы на сумму 14 629 531,00 рублей, не соответствующие фактически примененным (приняты к оплате стальные трубы с толщиной стенки 16 мм при фактическом применении стальных труб с толщиной стенки 12 мм);</w:t>
            </w:r>
          </w:p>
          <w:p w:rsidR="00A966A4" w:rsidRPr="002D38D1" w:rsidRDefault="00DD7DDD" w:rsidP="00A966A4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- приняты и оплачены затраты на мероприятия по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снегоборьбе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 на сумму 512 539,96 рубля в отсутствие документов, обосновывающих расчеты данной стоимости.</w:t>
            </w:r>
          </w:p>
          <w:p w:rsidR="00A966A4" w:rsidRPr="002D38D1" w:rsidRDefault="00A966A4" w:rsidP="00A966A4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Кроме того, выявлено нарушение, выразившееся в осуществлении расходов средств федерального бюджета на общую сумму 143 273 599,04 рубля не в соответствии с целями их предоставления, а именно расходы на оказание услуг по круглосуточной физической охране территорий и находящегося на них имущества и элементов незавершенного строительства объектов осуществлены по виду расходов 414 «Бюджетные инвестиции в объекты капитального строительства государственной (муниципальной) собственности», тогда как расходы по оплате охраны объектов незавершенного строительства осуществляются по виду расходов 244 «Прочая закупка товаров, работ и услуг».</w:t>
            </w:r>
          </w:p>
          <w:p w:rsidR="00DD7DDD" w:rsidRPr="002D38D1" w:rsidRDefault="00DD7DDD" w:rsidP="00DD7DDD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Указанные нарушения включены в предписание, поскольку не устранены в ходе исполнения ранее выданного представления.</w:t>
            </w:r>
          </w:p>
          <w:p w:rsidR="003651F6" w:rsidRPr="002D38D1" w:rsidRDefault="00DD7DDD" w:rsidP="00426140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Не согласившись с предписанием и полагая, что нарушения устранены, объект контроля обратился в суд с заявлением о признании недействительным предписания. 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259" w:rsidRPr="002D38D1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2. Судебные акты об удовлетворении заявленных требований 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полностью или частично (номера дел и 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DB" w:rsidRPr="002D38D1" w:rsidRDefault="00EA01DB" w:rsidP="00AC1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Дело № </w:t>
            </w:r>
            <w:r w:rsidR="008A413A" w:rsidRPr="002D38D1">
              <w:rPr>
                <w:rFonts w:ascii="Times New Roman" w:hAnsi="Times New Roman"/>
                <w:sz w:val="28"/>
                <w:szCs w:val="28"/>
              </w:rPr>
              <w:t>А40-154118/23</w:t>
            </w:r>
          </w:p>
          <w:p w:rsidR="008A413A" w:rsidRPr="002D38D1" w:rsidRDefault="008A413A" w:rsidP="00AC1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Решение Арбитражного суда города Москвы от 17.10.2023,</w:t>
            </w:r>
          </w:p>
          <w:p w:rsidR="00AC1259" w:rsidRPr="002D38D1" w:rsidRDefault="008A413A" w:rsidP="00AC1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постановление Девятого арбитражного апелляционного суда от 22.01.2024.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2D38D1" w:rsidRDefault="00AC1259" w:rsidP="00F3339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3. Правовая позиция ТОФК (ФКУ </w:t>
            </w:r>
            <w:r w:rsidR="00F33390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ЦОКР</w:t>
            </w:r>
            <w:r w:rsidR="00F33390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DA" w:rsidRPr="002D38D1" w:rsidRDefault="00D52ADA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Факт нарушения, выразившийся в расходовании средств федерального бюджета не в соответствии с целями их предоставления подтвержден вступившими в законную силу судебными актами по делу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br/>
              <w:t>№ А40-183407/22.</w:t>
            </w:r>
          </w:p>
          <w:p w:rsidR="00FA14F6" w:rsidRPr="002D38D1" w:rsidRDefault="00FA14F6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Внесение изменений в проектную документацию и получение положительного заключения государственной экспертизы ФАУ «Главгосэкспертиза России» от 21.11.2022 № 51-1-1-3-081316-2022 (далее – Заключение от 21.11.2022) не может рассматриваться в качестве устранения нарушения.</w:t>
            </w:r>
          </w:p>
          <w:p w:rsidR="00FA14F6" w:rsidRPr="002D38D1" w:rsidRDefault="00FA14F6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Внесение в сметную документацию корректировок и приведение ее в соответствие с ранее принятыми и оплаченными объемами даже при условии получения Заключения от 21.11.2022 не отменяет тот факт, что в актуальной на момент проведения контрольного мероприятия сметной документации, также получившей Заключение ФАУ «Главгосэкспертиза России» от 22.02.2017, предусмотрены расценки с более низкой стоимостью, применение которых соответствовало на момент принятия к оплате требованиям действующего законодательства.</w:t>
            </w:r>
          </w:p>
          <w:p w:rsidR="00FA14F6" w:rsidRPr="002D38D1" w:rsidRDefault="00FA14F6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Согласно позиции ФАУ «Главгосэкспертиза России», при составлении сметной документации выбор (обоснование) того или иного норматива из действующих сметных нормативов осуществляется в соответствии с принятыми проектными решениями и применяемой в проекте технологией производства работ и относится к компетенции организации, разрабатывающей проектную документацию, и застройщика или уполномоченного застройщиком технического заказчика (письмо от 08.07.2020 № 20-02-6/9299-СЛ). </w:t>
            </w:r>
          </w:p>
          <w:p w:rsidR="00FA14F6" w:rsidRPr="002D38D1" w:rsidRDefault="00FA14F6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Аналогичная позиция изложена в письме Минстроя России от 12.11.2015 № 36746-ВМ/05, согласно которому выбор норм и расценок для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применительного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 использования в сметной документации (при отсутствии прямых сметных нормативов) рекомендуется осуществлять с учетом максимального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lastRenderedPageBreak/>
              <w:t>соответствия состава работ и ресурсов применяемого норматива условиям производства работ, предусмотренным проектом.</w:t>
            </w:r>
          </w:p>
          <w:p w:rsidR="00FA14F6" w:rsidRPr="002D38D1" w:rsidRDefault="00FA14F6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Таким образом, выбор и применение того или иного сметного норматива относится к ответственности заявителя, а ссылка на положительное заключение государственной экспертизы ФАУ «Главгосэкспертиза России» от 21.11.2022 № 51-1-1-3-081316-2022 не свидетельствует о соответствии примененного норматива технологии работ, предусмотренной в проектной документации.</w:t>
            </w:r>
          </w:p>
          <w:p w:rsidR="00FA14F6" w:rsidRPr="002D38D1" w:rsidRDefault="00FA14F6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Согласно позиции Верховного Суда Российской Федерации, изложенной в определении от 15.01.2021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br/>
              <w:t>№ 307-ЭС20-21511, положительное заключение экспертизы не является гарантией достоверности определения сметной стоимости работ.</w:t>
            </w:r>
          </w:p>
          <w:p w:rsidR="00FA14F6" w:rsidRPr="002D38D1" w:rsidRDefault="00FA14F6" w:rsidP="00FA14F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Учитывая, что технические параметры применяемых труб для устройства свайного основания, технические характеристики пролетных строений мостов проектной документацией не изменены, у заявителя отсутствовали основания увеличивать их стоимость на 182 252 140,00 рублей и на 94 178 581,00 рубль соответственно.</w:t>
            </w:r>
          </w:p>
          <w:p w:rsidR="00DB150E" w:rsidRPr="002D38D1" w:rsidRDefault="00DB150E" w:rsidP="00DB150E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Из представленных Объектом контроля протоколов технических совещаний, предметом которых было, в том числе и рассмотрение вопросов по уточнению ранее принятых проектных решений по инициативе подрядчика, не усматривается необходимость выполнения дополнительных работ</w:t>
            </w:r>
            <w:r w:rsidR="00CC77A8" w:rsidRPr="002D38D1">
              <w:rPr>
                <w:rFonts w:ascii="Times New Roman" w:hAnsi="Times New Roman"/>
                <w:sz w:val="28"/>
                <w:szCs w:val="28"/>
              </w:rPr>
              <w:t xml:space="preserve"> на общую сумму 124 470 137,45 рубля, перечисленных в таблице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t xml:space="preserve">«Принятые непредвиденные работы и затраты».  </w:t>
            </w:r>
          </w:p>
          <w:p w:rsidR="00DB150E" w:rsidRPr="002D38D1" w:rsidRDefault="00DB150E" w:rsidP="00DB150E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Предоставленные дополнительно Объектом контроля акты на выполнение работ, не учтенных проектной документации, не соответствуют порядку уточнения проектных решений, предусмотренному Регламентом, т.к. фиксируют факт выполнения работы и не содержат решения Объекта контроля о целесообразности предлагаемых подрядчиком уточнений и принятии (или не принятии) предлагаемых проектных решений при разработке рабочей документации.</w:t>
            </w:r>
          </w:p>
          <w:p w:rsidR="00CC77A8" w:rsidRPr="002D38D1" w:rsidRDefault="00CC77A8" w:rsidP="00DB150E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Включение затрат на страхование строительных рисков в непредвиденные работы и затраты не обосновано, т.к. дублирует ранее принятые и оплаченные затраты на страхование строительных рисков на туже сумму.</w:t>
            </w:r>
          </w:p>
          <w:p w:rsidR="00CC77A8" w:rsidRPr="002D38D1" w:rsidRDefault="00CC77A8" w:rsidP="00CC77A8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lastRenderedPageBreak/>
              <w:t>Объектом контроля не представлена исполнительная документация, подтверждающая факт выполнения данных работ.</w:t>
            </w:r>
          </w:p>
          <w:p w:rsidR="00CC77A8" w:rsidRPr="002D38D1" w:rsidRDefault="00CC77A8" w:rsidP="00CC77A8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Отнесение затрат на подготовку Заключения по методологическому сопровождению принятия технологических решений на непредвиденные работы и затраты не обосновано, т.к. приводит к дублированию затрат, учтенных накладными расходами, бюджетной сметой на содержание Объекта контроля, в стоимости проведения государственной экспертизы и публичного технологического и ценового аудита инвестиционного проекта.</w:t>
            </w:r>
          </w:p>
          <w:p w:rsidR="00CC77A8" w:rsidRPr="002D38D1" w:rsidRDefault="00CC77A8" w:rsidP="00CC77A8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Руководствуясь назначением резерва средств на непредвиденные работы и затраты, определенном в пункте 4.96 МДС 81-35.2004, затраты на аренду перевалочных баз в сумме 42 877 979,76 рубля (без НДС) и в сумме 28 696 860,23 рубля (без НДС) соответственно включены в состав непредвиденных работ необоснованно, а у объекта контроля не возникает обязанности по компенсации указанных затрат.</w:t>
            </w:r>
          </w:p>
          <w:p w:rsidR="00CC77A8" w:rsidRPr="002D38D1" w:rsidRDefault="00CC77A8" w:rsidP="00CC77A8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Объектом контроля в пер</w:t>
            </w:r>
            <w:bookmarkStart w:id="0" w:name="_GoBack"/>
            <w:bookmarkEnd w:id="0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иод проведения проверки, в представленных возражениях, а также в рамках исполнения Представления не предоставлены документы, подтверждающие фактическое выполнение </w:t>
            </w:r>
            <w:proofErr w:type="gramStart"/>
            <w:r w:rsidRPr="002D38D1">
              <w:rPr>
                <w:rFonts w:ascii="Times New Roman" w:hAnsi="Times New Roman"/>
                <w:sz w:val="28"/>
                <w:szCs w:val="28"/>
              </w:rPr>
              <w:t>буро-взрывных</w:t>
            </w:r>
            <w:proofErr w:type="gram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 работ в объеме, превышающем проектный, а также обоснование необходимости выполнения указанных работ.</w:t>
            </w:r>
          </w:p>
          <w:p w:rsidR="00CC77A8" w:rsidRPr="002D38D1" w:rsidRDefault="00CC77A8" w:rsidP="00CC77A8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Включение в проектную документацию соответствующих фактически примененным труб с толщиной стенки 12 мм не отменяет тот факт, что к оплате принят не имевший места факт хозяйственной деятельности, а именно трубы с толщиной стенки 16 мм по более высокой цене (разница составила 14 629 531,00 рублей).</w:t>
            </w:r>
          </w:p>
          <w:p w:rsidR="00EA01DB" w:rsidRPr="002D38D1" w:rsidRDefault="00CC77A8" w:rsidP="00CC77A8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Затраты на мероприятия по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снегоборьбе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 на сумму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br/>
              <w:t>512 539,96 рубля в отсутствие документов, обосновывающих расчеты данной стоимости.</w:t>
            </w:r>
          </w:p>
          <w:p w:rsidR="002D38D1" w:rsidRPr="002D38D1" w:rsidRDefault="002D38D1" w:rsidP="00CC77A8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С учетом изложенного суд пришел к выводу о частичном удовлетворении требований, при этом пункт 1 предписания признан законным и обоснованным.</w:t>
            </w:r>
          </w:p>
        </w:tc>
      </w:tr>
      <w:tr w:rsidR="002D38D1" w:rsidRPr="002D38D1" w:rsidTr="001A631B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259" w:rsidRPr="002D38D1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1F4" w:rsidRPr="002D38D1" w:rsidRDefault="003A11F4" w:rsidP="003A11F4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Пункт 1 предписания. Отказывая в удовлетворении требований, суд указал, что охранные организации оказывали услуги по охране после полной остановки 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строительства объектов, то есть в период, когда строительство не осуществлялось.</w:t>
            </w:r>
          </w:p>
          <w:p w:rsidR="003A11F4" w:rsidRPr="002D38D1" w:rsidRDefault="003A11F4" w:rsidP="003A11F4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В ходе рассмотрения дела заявителем не представлены доказательства принятия каких-либо мер, направленных на устранение выявленного нарушения (в рамках исполнения представления) и на возмещение причиненного ущерба (в рамках исполнения Предписания). Данное нарушение являлось предметом обжалования в рамках дела А40-183407/22-130-1352. Факт нарушения, отраженный в пункте 1 предписания, подтвержден вступившим в законную силу судебным актом — решением Арбитражного суда города Москвы от 27.10.2022</w:t>
            </w:r>
          </w:p>
          <w:p w:rsidR="003876D6" w:rsidRPr="002D38D1" w:rsidRDefault="00AC1259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876D6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Пункт 2 предписания. Действия Учреждения в рамках выполнения обязательств по контракту были обусловлены исполнением решений компетентных органов исполнительной власти. 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Приемка и оплата по акту формы КС-2 осуществлена заказчиком с соблюдением подп. 1, 2 ч. 1 ст. 94 Федерального закона от 05.04.2013 № 44-ФЗ и условий контракта.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Вывод Управления о завышении стоимости строительства является необоснованным, противоречит имеющимся в деле доказательствам, а также обстоятельствам, установленным судами при рассмотрении дела № А40-4132/23, и не соответствует законодательству Российской Федерации, поскольку Управление, требуя возместить ущерб, перечислив в бюджет денежные средства за фактически понесенные и верным методом определенные затраты на стоимость использованных при строительстве объекта материалов, требует изменить и уменьшить твердую цену контракта при отсутствии на то правовых оснований.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Пункт 3 предписания. Измененная проектная документация по объекту, прошедшая </w:t>
            </w:r>
            <w:proofErr w:type="gramStart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повторную государственную экспертизу</w:t>
            </w:r>
            <w:proofErr w:type="gramEnd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получившая положительное заключение ФАУ «Главгосэкспертиза России» 2022 года, подтверждает достоверность примененных расценок на материалы (пролетные строения мостов), принятые и оплаченные по акту формы КС-2.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Пункт 5 предписания. По каждому виду непредвиденных затрат заявителем составлены 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предусмотренные законодательством Российской Федерации документы, включая первичные учетные, а также акты, содержащие подробное обоснование необходимости выполнения соответствующих работ.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Требование о необходимости фиксации объемов выполненных работ в документах, обосновывающих расчеты, соблюдено как заказчиком, так и подрядчиком, а также субподрядчиком.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Пункт 6 предписания. замена трубы согласована письмом проектировщика АО «</w:t>
            </w:r>
            <w:proofErr w:type="spellStart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Гипротранспроект</w:t>
            </w:r>
            <w:proofErr w:type="spellEnd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» от 07.09.2018 № 0538-2/18. В соответствии с контрактом использование данных конструкций при строительстве объекта оплачивается заказчиком как стоимость специальных вспомогательных сооружений и установок и учтено в разработанной ВКЭ, являющейся неотъемлемой частью контракта, одной строкой и составляет 45 001 271 руб. (утверждена дополнительным соглашением № 42 к контракту). Уменьшение стоимости конструктива ввиду замены используемых при его возведении материалов не осуществлялось, что подтверждается, в том числе содержанием проектной документации 2022.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Таким образом, в действиях Учреждения отсутствуют нарушения, а отсутствие влияния замены трубы при возведении временных конструкций на итоговую сметную стоимость конструктива подтверждено в установленном законодательством Российской Федерации порядке государственной экспертизой.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Пункт 7 предписания. При расчете за выполненные работы оплата затрат на </w:t>
            </w:r>
            <w:proofErr w:type="spellStart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снегоборьбу</w:t>
            </w:r>
            <w:proofErr w:type="spellEnd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производилась по процентной норме от сметной стоимости строительно-монтажных работ, исходя из объемов фактически выполненных и документально подтвержденных работ актами по форме КС-2. Общая сумма затрат по </w:t>
            </w:r>
            <w:proofErr w:type="spellStart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снегоборьбе</w:t>
            </w:r>
            <w:proofErr w:type="spellEnd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не превышает лимит по контракту.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Подрядчиком были предоставлены в составе первичной учетной документации по форме и в объеме информации, предусмотренными организацией, выдавшей справки.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Исследовав представленные письма ФГБУ «Гидрометцентр России», суд первой инстанции обоснованно пришел к выводу о том, что данная организация подтвердила наличие сильных осадков снега и сильные порывы ветра в определенные периоды. 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Установление данных явлений Гидрометцентром определено с учетом его действующих положений.</w:t>
            </w:r>
          </w:p>
          <w:p w:rsidR="003876D6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Принимая во внимание представленные доказательства, весь объем снегового покрова, скопившийся на объекте в зимний период, был ликвидирован и оплачен за счет средств на </w:t>
            </w:r>
            <w:proofErr w:type="spellStart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снегоборьбу</w:t>
            </w:r>
            <w:proofErr w:type="spellEnd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, в связи с чем расчет заявителя, исходя из высоты покрова по всему объекту, также является достоверно обоснованным, учитывая, что таяние и испарение снега происходит также за счет естественных физических процессов таких как нагрев поверхности под действием солнечного света, а уплотнение - под действием собственного света.</w:t>
            </w:r>
          </w:p>
          <w:p w:rsidR="00AC1259" w:rsidRPr="002D38D1" w:rsidRDefault="003876D6" w:rsidP="003876D6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Таким образом, заявитель правомерно принял и оплатил в рамках исполнения контракта соответствующие затраты, которые предусмотрены проектной документацией, прошедшей государственную экспертизу, определены по сметным нормативам, соответствующим фактически выполненным работам, подтверждены необходимыми документами и расчетами, предусмотренными законодательством Российской Федерации, в связи с чем в действиях ФКУ «Ространсмодернизация» отсутствует нарушение БК РФ, ГК РФ, </w:t>
            </w:r>
            <w:proofErr w:type="spellStart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ГрК</w:t>
            </w:r>
            <w:proofErr w:type="spellEnd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РФ, а также Федеральных законов от 06.12.2011 № 402-ФЗ и от 05.04.2013 № 44-ФЗ. Денежные средства израсходованы заявителем в соответствии с целями, определенными вышеуказанным контрактом.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2D38D1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59" w:rsidRPr="002D38D1" w:rsidRDefault="008A413A" w:rsidP="00521F0F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Подача кассационной жалобы.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2D38D1" w:rsidRDefault="00AC1259" w:rsidP="00F3339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6. Номер и дата дела в ТОФК (ФКУ </w:t>
            </w:r>
            <w:r w:rsidR="00F33390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ЦОКР</w:t>
            </w:r>
            <w:r w:rsidR="00F33390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59" w:rsidRPr="002D38D1" w:rsidRDefault="000B601D" w:rsidP="008A41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Дело № 21-</w:t>
            </w:r>
            <w:r w:rsidR="008A413A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12/10</w:t>
            </w:r>
            <w:r w:rsidR="00AC1259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="008A413A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17.07.2023</w:t>
            </w:r>
          </w:p>
        </w:tc>
      </w:tr>
    </w:tbl>
    <w:p w:rsidR="00E235DD" w:rsidRPr="002D38D1" w:rsidRDefault="00E235D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 xml:space="preserve">казначейства/Федеральным казенным учреждением </w:t>
      </w:r>
      <w:r w:rsidR="002258BD" w:rsidRPr="002D38D1">
        <w:rPr>
          <w:rFonts w:ascii="Times New Roman" w:hAnsi="Times New Roman" w:cs="Times New Roman"/>
          <w:sz w:val="28"/>
          <w:szCs w:val="28"/>
        </w:rPr>
        <w:t>«</w:t>
      </w:r>
      <w:r w:rsidRPr="002D38D1">
        <w:rPr>
          <w:rFonts w:ascii="Times New Roman" w:hAnsi="Times New Roman" w:cs="Times New Roman"/>
          <w:sz w:val="28"/>
          <w:szCs w:val="28"/>
        </w:rPr>
        <w:t>Центр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</w:t>
      </w:r>
      <w:r w:rsidR="002258BD" w:rsidRPr="002D38D1">
        <w:rPr>
          <w:rFonts w:ascii="Times New Roman" w:hAnsi="Times New Roman" w:cs="Times New Roman"/>
          <w:sz w:val="28"/>
          <w:szCs w:val="28"/>
        </w:rPr>
        <w:t>»</w:t>
      </w:r>
    </w:p>
    <w:p w:rsidR="00405728" w:rsidRPr="002D38D1" w:rsidRDefault="0040572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72F7" w:rsidRPr="002D38D1" w:rsidRDefault="004272F7" w:rsidP="00427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lastRenderedPageBreak/>
        <w:t>Судебных актов, необходимых для включения в Обзор судебной практики, не выносилось.</w:t>
      </w:r>
    </w:p>
    <w:p w:rsidR="009537AD" w:rsidRPr="002D38D1" w:rsidRDefault="009537A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2D38D1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84D4C" w:rsidRPr="002D38D1" w:rsidRDefault="00D84D4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8D1">
        <w:rPr>
          <w:rFonts w:ascii="Times New Roman" w:hAnsi="Times New Roman" w:cs="Times New Roman"/>
          <w:sz w:val="28"/>
          <w:szCs w:val="28"/>
        </w:rPr>
        <w:t>3.</w:t>
      </w:r>
      <w:r w:rsidR="00253A19" w:rsidRPr="002D38D1">
        <w:rPr>
          <w:rFonts w:ascii="Times New Roman" w:hAnsi="Times New Roman" w:cs="Times New Roman"/>
          <w:sz w:val="28"/>
          <w:szCs w:val="28"/>
        </w:rPr>
        <w:t>1</w:t>
      </w:r>
      <w:r w:rsidRPr="002D38D1">
        <w:rPr>
          <w:rFonts w:ascii="Times New Roman" w:hAnsi="Times New Roman" w:cs="Times New Roman"/>
          <w:sz w:val="28"/>
          <w:szCs w:val="28"/>
        </w:rPr>
        <w:t>. Дел</w:t>
      </w:r>
      <w:r w:rsidR="000F0CD3" w:rsidRPr="002D38D1">
        <w:rPr>
          <w:rFonts w:ascii="Times New Roman" w:hAnsi="Times New Roman" w:cs="Times New Roman"/>
          <w:sz w:val="28"/>
          <w:szCs w:val="28"/>
        </w:rPr>
        <w:t>а</w:t>
      </w:r>
      <w:r w:rsidRPr="002D38D1">
        <w:rPr>
          <w:rFonts w:ascii="Times New Roman" w:hAnsi="Times New Roman" w:cs="Times New Roman"/>
          <w:sz w:val="28"/>
          <w:szCs w:val="28"/>
        </w:rPr>
        <w:t xml:space="preserve"> по обжалованию </w:t>
      </w:r>
      <w:r w:rsidR="00537655" w:rsidRPr="002D38D1">
        <w:rPr>
          <w:rFonts w:ascii="Times New Roman" w:hAnsi="Times New Roman" w:cs="Times New Roman"/>
          <w:sz w:val="28"/>
          <w:szCs w:val="28"/>
        </w:rPr>
        <w:t>представлений, вынесенных объектам контроля</w:t>
      </w:r>
    </w:p>
    <w:p w:rsidR="00D6147B" w:rsidRPr="002D38D1" w:rsidRDefault="00D6147B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79"/>
      </w:tblGrid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2D38D1" w:rsidRDefault="00D6147B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63D" w:rsidRPr="002D38D1" w:rsidRDefault="00B8479E" w:rsidP="00E2763D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В ходе контрольного мероприятия Управлением установлено, 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что Акционерным обществом «Государственное машиностроительное конструктор-</w:t>
            </w:r>
            <w:proofErr w:type="spellStart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ское</w:t>
            </w:r>
            <w:proofErr w:type="spellEnd"/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бюро «Вымпел» имени И.И. Торопова»</w:t>
            </w:r>
            <w:r w:rsidR="0016143F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(далее – </w:t>
            </w:r>
            <w:r w:rsidR="00E2763D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АО «</w:t>
            </w:r>
            <w:r w:rsidR="00E2763D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ГОС МКБ «ВЫМПЕЛ» им. И.И. Торопова, Общество, объект контроля</w:t>
            </w:r>
            <w:r w:rsidR="00B0706F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, заявитель)</w:t>
            </w:r>
            <w:r w:rsidR="00E2763D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нарушение пункта 1.1 Соглашения о предоставлении в 2022 году средств федерального бюджета организации оборонно-промышленного комплекса на осуществление стимулирующих выплат работникам организаций оборонно-промышленного комплекса от 28.11.2022 </w:t>
            </w:r>
            <w:r w:rsidR="00E2763D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№ 22209.4419251.18.051 (далее – Соглашение) произведены выплаты 131 работнику Общества (в том числе: сотрудникам руководства - секретарь, советник, помощник генерального директора, сотрудникам учебного центра - начальник, заместитель начальника, сотрудникам бухгалтерии, сотрудникам финансово-экономического управления, сотрудники службы имущественных отношений, сотрудникам управления персоналом, сотрудникам библиотечно-информационного отдела, сотрудникам медико-санитарной части, сотрудникам отдел капитального строительства,              а также комендантам, завхозу, уборщику территорий, рабочим зеленного хозяйства, операторам стиральных машин) не задействованным </w:t>
            </w:r>
            <w:r w:rsidR="00E2763D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 непосредственном производстве ВВТС, материальных средств, используемых при проведении специальной военной операции на территории Донецкой Народной Республики, Луганской Народной Республики и Украины на общую сумму 9 370 000,00 рубле</w:t>
            </w:r>
            <w:r w:rsidR="00E2763D" w:rsidRPr="002D38D1">
              <w:rPr>
                <w:rFonts w:ascii="Times New Roman" w:hAnsi="Times New Roman"/>
                <w:sz w:val="28"/>
                <w:szCs w:val="28"/>
              </w:rPr>
              <w:t>й.</w:t>
            </w:r>
          </w:p>
          <w:p w:rsidR="00E2763D" w:rsidRPr="002D38D1" w:rsidRDefault="00E2763D" w:rsidP="00E2763D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Средства, предоставленные Обществу на основании соглашения от 28.11.2022 № 22209.4419251.18.051 в редакции дополнительного соглашения от 27.12.2022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br/>
              <w:t xml:space="preserve">№ 1, являются по своей сути не возмещением затрат Общества, а стимулирующими выплатами для работников, непосредственно осуществляющих производство вооружения, военной и специальной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lastRenderedPageBreak/>
              <w:t>техники, материальных средств, используемых при проведении специальной военной операции на территории Донецкой народной республики, Луганской народной республики и Украины.</w:t>
            </w:r>
          </w:p>
          <w:p w:rsidR="00E2763D" w:rsidRPr="002D38D1" w:rsidRDefault="00F23B69" w:rsidP="00E2763D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Позиция Управления о неправомерном расходовании средств субсидии на выплату стимулирующих выплат работникам, не задействованным в производстве предприятия, соответствует позиции Министерства финансов Российской Федерации, изложенной в письме от 26.05.23 № 10-10-05/48189.</w:t>
            </w:r>
          </w:p>
          <w:p w:rsidR="00E2763D" w:rsidRPr="002D38D1" w:rsidRDefault="00F23B69" w:rsidP="00F23B69">
            <w:pPr>
              <w:tabs>
                <w:tab w:val="left" w:pos="8364"/>
              </w:tabs>
              <w:spacing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Принятие Министерством промышленности и торговли Российской Федерации отчета о соблюдении целей, условий и порядка предоставления средств и отсутствие методических указаний также не свидетельствует о соблюдении Обществом целевого характера использования предоставленных средств.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47B" w:rsidRPr="002D38D1" w:rsidRDefault="00D6147B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2D38D1" w:rsidRDefault="00D67978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2D38D1" w:rsidRDefault="00D6147B" w:rsidP="00D6147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F" w:rsidRPr="002D38D1" w:rsidRDefault="00C4367A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sz w:val="28"/>
                <w:szCs w:val="28"/>
              </w:rPr>
              <w:t>Дело № А40-</w:t>
            </w:r>
            <w:r w:rsidR="00B0706F" w:rsidRPr="002D38D1">
              <w:rPr>
                <w:rFonts w:ascii="Times New Roman" w:hAnsi="Times New Roman"/>
                <w:sz w:val="28"/>
                <w:szCs w:val="28"/>
              </w:rPr>
              <w:t>207947/23</w:t>
            </w:r>
            <w:r w:rsidRPr="002D38D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6147B" w:rsidRPr="002D38D1" w:rsidRDefault="00D67978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sz w:val="28"/>
                <w:szCs w:val="28"/>
              </w:rPr>
              <w:t xml:space="preserve">решение Арбитражного суда города Москвы от </w:t>
            </w:r>
            <w:r w:rsidR="00B0706F" w:rsidRPr="002D38D1">
              <w:rPr>
                <w:rFonts w:ascii="Times New Roman" w:hAnsi="Times New Roman" w:cs="Times New Roman"/>
                <w:sz w:val="28"/>
                <w:szCs w:val="28"/>
              </w:rPr>
              <w:t>19.12.2023;</w:t>
            </w:r>
          </w:p>
          <w:p w:rsidR="00B0706F" w:rsidRPr="002D38D1" w:rsidRDefault="00B0706F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D1">
              <w:rPr>
                <w:rFonts w:ascii="Times New Roman" w:hAnsi="Times New Roman" w:cs="Times New Roman"/>
                <w:sz w:val="28"/>
                <w:szCs w:val="28"/>
              </w:rPr>
              <w:t>постановление Девятого арбитражного апелляционного суда от 27.03.2024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2D38D1" w:rsidRDefault="00D6147B" w:rsidP="00D6147B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4. Правовая позиция суда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6F" w:rsidRPr="002D38D1" w:rsidRDefault="00B0706F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Суды указали, что цена на изделия, поставляемые Заявителем по государственному контракту в рамках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гособоронзаказа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, формируется затратным методом (исходя из всех затрат, понесенных исполнителем) и включает в себя заработную плату всех категорий работников. Более того в соответствии с приложением №1 Порядка определения состава затрат, включаемых в цену продукции, поставляемой в рамках государственного оборонного заказа, утвержденного приказом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Минпромторга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 России от 08.02.2019 №334 (далее – Порядок </w:t>
            </w:r>
            <w:proofErr w:type="spellStart"/>
            <w:r w:rsidRPr="002D38D1">
              <w:rPr>
                <w:rFonts w:ascii="Times New Roman" w:hAnsi="Times New Roman"/>
                <w:sz w:val="28"/>
                <w:szCs w:val="28"/>
              </w:rPr>
              <w:t>Минпромторга</w:t>
            </w:r>
            <w:proofErr w:type="spellEnd"/>
            <w:r w:rsidRPr="002D38D1">
              <w:rPr>
                <w:rFonts w:ascii="Times New Roman" w:hAnsi="Times New Roman"/>
                <w:sz w:val="28"/>
                <w:szCs w:val="28"/>
              </w:rPr>
              <w:t xml:space="preserve"> №334), в себестоимость продукции включены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lastRenderedPageBreak/>
              <w:t>«Общехозяйственные затраты», предусматривающие затраты, связанные с управлением деятельностью организации в целом (в том числе: содержание аппарата управления организацией и прочего общехозяйственного персонала - затраты на оплату труда (основная и дополнительная заработная плата) работников управления организации и прочего общехозяйственного персонала занятых эксплуатацией основных фондов, связанных с управлением организацией; содержание и ремонт основных средств общехозяйственного назначения - затраты на оплату труда (основная и дополнительная заработная плата) работников ремонтных и обслуживающих подразделений организации, ответственных за содержание и ремонт основных фондов, связанных с управлением организацией; затраты на подготовку и переподготовку работников организации, а также затраты по подбору и найму работников - оплата труда специалистов и квалифицированных работников по руководству обучением в условиях производства и производственной практики).</w:t>
            </w:r>
          </w:p>
          <w:p w:rsidR="00B0706F" w:rsidRPr="002D38D1" w:rsidRDefault="00B0706F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В свою очередь средства, предоставленные Обществу на основании соглашения от 28.11.2022 №22209.4419251.18.051, являются по своей сути не возмещением затрат Общества, а стимулирующими выплатами для работников, непосредственно осуществляющих производство вооружения, военной и специальной техники, материальных средств, используемых при проведении специальной военной операции на территории Донецкой народной республики, Луганской народной республики и Украины.</w:t>
            </w:r>
          </w:p>
          <w:p w:rsidR="00B0706F" w:rsidRPr="002D38D1" w:rsidRDefault="00B0706F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Заявитель не представил аргументированного обоснования, каким образом сотрудники бухгалтерии, медико-санитарной части или операторы стиральных машин были задействованы в производстве вооружения, военной и специальной техники, материальных средств, используемых при проведении специальной военной операции на территории Донецкой народной республики, Луганской народной республики и Украины, что является, в свою очередь, ключевым критерием для осуществления стимулирующих выплат. </w:t>
            </w:r>
          </w:p>
          <w:p w:rsidR="00B0706F" w:rsidRPr="002D38D1" w:rsidRDefault="00B0706F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 xml:space="preserve">Таким образом, суды пришли к выводу, что заработная плата лиц, исключенных Управлением из </w:t>
            </w:r>
            <w:r w:rsidRPr="002D38D1">
              <w:rPr>
                <w:rFonts w:ascii="Times New Roman" w:hAnsi="Times New Roman"/>
                <w:sz w:val="28"/>
                <w:szCs w:val="28"/>
              </w:rPr>
              <w:lastRenderedPageBreak/>
              <w:t>перечня, которым произведены выплаты за счет средств субсидии из федерального бюджета, не относится к основному производству, а учитывается отдельно в качестве общехозяйственных расходов, особо отметив при этом, что  «непосредственным вовлечением» в данном случае является такой процесс работы, результатом которого и является непосредственное изготовление необходимых изделий, а не процесс организации таких работ».</w:t>
            </w:r>
          </w:p>
          <w:p w:rsidR="00C4367A" w:rsidRPr="002D38D1" w:rsidRDefault="00B0706F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/>
                <w:sz w:val="28"/>
                <w:szCs w:val="28"/>
              </w:rPr>
              <w:t>На основании совокупной оценки всех представленных в материалы дела документов и доказательств, суд отклонил доводы апелляционной жалобы в полном объеме, указав, что при рассмотрении дела судом первой инстанции нормы процессуального законодательства не нарушены и применены нормы материального права, подлежащие применению в данном деле.</w:t>
            </w:r>
          </w:p>
        </w:tc>
      </w:tr>
      <w:tr w:rsidR="002D38D1" w:rsidRPr="002D38D1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47B" w:rsidRPr="002D38D1" w:rsidRDefault="00D6147B" w:rsidP="00F33390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5. Номер и дата дела в ТОФК (ФКУ </w:t>
            </w:r>
            <w:r w:rsidR="00F33390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ЦОКР</w:t>
            </w:r>
            <w:r w:rsidR="00F33390"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2D38D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2D38D1" w:rsidRDefault="00D6147B" w:rsidP="00B0706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2D38D1">
              <w:rPr>
                <w:rFonts w:ascii="Times New Roman" w:hAnsi="Times New Roman" w:cs="Times New Roman"/>
                <w:sz w:val="28"/>
                <w:szCs w:val="28"/>
              </w:rPr>
              <w:t xml:space="preserve">Дело № </w:t>
            </w:r>
            <w:hyperlink r:id="rId7" w:anchor="!/lawsuits/appeal/view/128085967/main" w:tooltip="Открыть судебное дело на просмотр" w:history="1">
              <w:r w:rsidR="00B0706F" w:rsidRPr="002D38D1">
                <w:rPr>
                  <w:rFonts w:ascii="Times New Roman" w:hAnsi="Times New Roman" w:cs="Times New Roman"/>
                  <w:sz w:val="28"/>
                  <w:szCs w:val="28"/>
                </w:rPr>
                <w:t>21-12/12-2023</w:t>
              </w:r>
            </w:hyperlink>
            <w:r w:rsidRPr="002D38D1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B0706F" w:rsidRPr="002D38D1">
              <w:rPr>
                <w:rFonts w:ascii="Times New Roman" w:hAnsi="Times New Roman" w:cs="Times New Roman"/>
                <w:sz w:val="28"/>
                <w:szCs w:val="28"/>
              </w:rPr>
              <w:t>04.10.2023</w:t>
            </w:r>
          </w:p>
        </w:tc>
      </w:tr>
    </w:tbl>
    <w:p w:rsidR="00D6147B" w:rsidRPr="002D38D1" w:rsidRDefault="00D6147B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D6147B" w:rsidRPr="002D38D1" w:rsidSect="00FE635B">
      <w:headerReference w:type="default" r:id="rId8"/>
      <w:footnotePr>
        <w:pos w:val="beneathText"/>
      </w:footnotePr>
      <w:endnotePr>
        <w:numFmt w:val="chicago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A7A" w:rsidRDefault="00D80A7A" w:rsidP="0022037B">
      <w:pPr>
        <w:spacing w:after="0" w:line="240" w:lineRule="auto"/>
      </w:pPr>
      <w:r>
        <w:separator/>
      </w:r>
    </w:p>
  </w:endnote>
  <w:endnote w:type="continuationSeparator" w:id="0">
    <w:p w:rsidR="00D80A7A" w:rsidRDefault="00D80A7A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A7A" w:rsidRDefault="00D80A7A" w:rsidP="0022037B">
      <w:pPr>
        <w:spacing w:after="0" w:line="240" w:lineRule="auto"/>
      </w:pPr>
      <w:r>
        <w:separator/>
      </w:r>
    </w:p>
  </w:footnote>
  <w:footnote w:type="continuationSeparator" w:id="0">
    <w:p w:rsidR="00D80A7A" w:rsidRDefault="00D80A7A" w:rsidP="0022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3C1C" w:rsidRPr="0056223B" w:rsidRDefault="007F3C1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622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622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38D1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F3C1C" w:rsidRDefault="007F3C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98"/>
    <w:rsid w:val="00007E69"/>
    <w:rsid w:val="00010089"/>
    <w:rsid w:val="0001528D"/>
    <w:rsid w:val="00035E58"/>
    <w:rsid w:val="000420D2"/>
    <w:rsid w:val="00044810"/>
    <w:rsid w:val="00046254"/>
    <w:rsid w:val="00046CE5"/>
    <w:rsid w:val="00051E69"/>
    <w:rsid w:val="00061457"/>
    <w:rsid w:val="00061488"/>
    <w:rsid w:val="00066E02"/>
    <w:rsid w:val="00072C4F"/>
    <w:rsid w:val="000957F5"/>
    <w:rsid w:val="0009603C"/>
    <w:rsid w:val="000A0B4E"/>
    <w:rsid w:val="000A6066"/>
    <w:rsid w:val="000A7B72"/>
    <w:rsid w:val="000B601D"/>
    <w:rsid w:val="000E2FF3"/>
    <w:rsid w:val="000E76C6"/>
    <w:rsid w:val="000F0CD3"/>
    <w:rsid w:val="00113149"/>
    <w:rsid w:val="001352F9"/>
    <w:rsid w:val="00146C88"/>
    <w:rsid w:val="00150FD0"/>
    <w:rsid w:val="0015766E"/>
    <w:rsid w:val="0016143F"/>
    <w:rsid w:val="001643E8"/>
    <w:rsid w:val="001760A1"/>
    <w:rsid w:val="00184982"/>
    <w:rsid w:val="00192939"/>
    <w:rsid w:val="001A631B"/>
    <w:rsid w:val="001B1AFB"/>
    <w:rsid w:val="001B6178"/>
    <w:rsid w:val="001E2806"/>
    <w:rsid w:val="001E4769"/>
    <w:rsid w:val="001F18F9"/>
    <w:rsid w:val="001F1F8F"/>
    <w:rsid w:val="001F7FA0"/>
    <w:rsid w:val="002064DE"/>
    <w:rsid w:val="00213BDC"/>
    <w:rsid w:val="002165ED"/>
    <w:rsid w:val="00217A3E"/>
    <w:rsid w:val="0022037B"/>
    <w:rsid w:val="002258BD"/>
    <w:rsid w:val="00230135"/>
    <w:rsid w:val="0023140D"/>
    <w:rsid w:val="00232B69"/>
    <w:rsid w:val="0023672B"/>
    <w:rsid w:val="00243B1B"/>
    <w:rsid w:val="00253A19"/>
    <w:rsid w:val="002568B0"/>
    <w:rsid w:val="0026137F"/>
    <w:rsid w:val="00287EB3"/>
    <w:rsid w:val="002941F5"/>
    <w:rsid w:val="00295BD1"/>
    <w:rsid w:val="00296DC1"/>
    <w:rsid w:val="002A3402"/>
    <w:rsid w:val="002B1FD9"/>
    <w:rsid w:val="002B2C5D"/>
    <w:rsid w:val="002B3F4E"/>
    <w:rsid w:val="002C00C6"/>
    <w:rsid w:val="002C2259"/>
    <w:rsid w:val="002D34DD"/>
    <w:rsid w:val="002D38D1"/>
    <w:rsid w:val="002D3E42"/>
    <w:rsid w:val="002D4347"/>
    <w:rsid w:val="002D7E33"/>
    <w:rsid w:val="002F1135"/>
    <w:rsid w:val="002F175F"/>
    <w:rsid w:val="002F3B1E"/>
    <w:rsid w:val="00302399"/>
    <w:rsid w:val="003262BD"/>
    <w:rsid w:val="00334E5E"/>
    <w:rsid w:val="00350DB2"/>
    <w:rsid w:val="003565A9"/>
    <w:rsid w:val="003651F6"/>
    <w:rsid w:val="0037250E"/>
    <w:rsid w:val="0038333A"/>
    <w:rsid w:val="0038531D"/>
    <w:rsid w:val="003876D6"/>
    <w:rsid w:val="003877EF"/>
    <w:rsid w:val="003A11F4"/>
    <w:rsid w:val="003A6F4C"/>
    <w:rsid w:val="003C029F"/>
    <w:rsid w:val="003F3914"/>
    <w:rsid w:val="00405728"/>
    <w:rsid w:val="00410D54"/>
    <w:rsid w:val="00426140"/>
    <w:rsid w:val="004264AE"/>
    <w:rsid w:val="004272F7"/>
    <w:rsid w:val="00451023"/>
    <w:rsid w:val="00455AB5"/>
    <w:rsid w:val="00463F04"/>
    <w:rsid w:val="00484483"/>
    <w:rsid w:val="00496B82"/>
    <w:rsid w:val="004A1F16"/>
    <w:rsid w:val="004A6FA0"/>
    <w:rsid w:val="004D25C9"/>
    <w:rsid w:val="005031A5"/>
    <w:rsid w:val="005046F7"/>
    <w:rsid w:val="005202E4"/>
    <w:rsid w:val="00521F0F"/>
    <w:rsid w:val="0052346B"/>
    <w:rsid w:val="005257B1"/>
    <w:rsid w:val="00537655"/>
    <w:rsid w:val="0054312F"/>
    <w:rsid w:val="00547893"/>
    <w:rsid w:val="005539B4"/>
    <w:rsid w:val="005558DF"/>
    <w:rsid w:val="00560A29"/>
    <w:rsid w:val="0056223B"/>
    <w:rsid w:val="00564865"/>
    <w:rsid w:val="005676DC"/>
    <w:rsid w:val="0058399F"/>
    <w:rsid w:val="00585EB5"/>
    <w:rsid w:val="00586098"/>
    <w:rsid w:val="00586FA7"/>
    <w:rsid w:val="005910BA"/>
    <w:rsid w:val="005920D9"/>
    <w:rsid w:val="005971B9"/>
    <w:rsid w:val="005A2E56"/>
    <w:rsid w:val="005A78EA"/>
    <w:rsid w:val="005B0984"/>
    <w:rsid w:val="005C2FCD"/>
    <w:rsid w:val="005D0AE4"/>
    <w:rsid w:val="005D3568"/>
    <w:rsid w:val="005E17C5"/>
    <w:rsid w:val="005F07F6"/>
    <w:rsid w:val="005F20BF"/>
    <w:rsid w:val="00612D15"/>
    <w:rsid w:val="006239DC"/>
    <w:rsid w:val="0063531D"/>
    <w:rsid w:val="006432BE"/>
    <w:rsid w:val="00643826"/>
    <w:rsid w:val="0064564F"/>
    <w:rsid w:val="006458F3"/>
    <w:rsid w:val="00651BEC"/>
    <w:rsid w:val="00654115"/>
    <w:rsid w:val="00655C9E"/>
    <w:rsid w:val="006715D2"/>
    <w:rsid w:val="0068473E"/>
    <w:rsid w:val="00685B48"/>
    <w:rsid w:val="00696B3D"/>
    <w:rsid w:val="00697422"/>
    <w:rsid w:val="006A07C4"/>
    <w:rsid w:val="006A582B"/>
    <w:rsid w:val="006B2A57"/>
    <w:rsid w:val="006C18AB"/>
    <w:rsid w:val="006D73C5"/>
    <w:rsid w:val="006D7FAF"/>
    <w:rsid w:val="006E2AC3"/>
    <w:rsid w:val="006E6D22"/>
    <w:rsid w:val="006F258F"/>
    <w:rsid w:val="007011D0"/>
    <w:rsid w:val="00707286"/>
    <w:rsid w:val="00744D31"/>
    <w:rsid w:val="0075013C"/>
    <w:rsid w:val="00770414"/>
    <w:rsid w:val="00770CE6"/>
    <w:rsid w:val="0077200F"/>
    <w:rsid w:val="00781E8E"/>
    <w:rsid w:val="00786AB2"/>
    <w:rsid w:val="007A00C2"/>
    <w:rsid w:val="007A2289"/>
    <w:rsid w:val="007A38DC"/>
    <w:rsid w:val="007A483B"/>
    <w:rsid w:val="007B2F8D"/>
    <w:rsid w:val="007C3B86"/>
    <w:rsid w:val="007D238C"/>
    <w:rsid w:val="007D33BB"/>
    <w:rsid w:val="007F3C1C"/>
    <w:rsid w:val="007F5AC1"/>
    <w:rsid w:val="007F763B"/>
    <w:rsid w:val="00824904"/>
    <w:rsid w:val="00831397"/>
    <w:rsid w:val="00831DC1"/>
    <w:rsid w:val="00841709"/>
    <w:rsid w:val="0084739D"/>
    <w:rsid w:val="008551AA"/>
    <w:rsid w:val="008731CF"/>
    <w:rsid w:val="00876EF9"/>
    <w:rsid w:val="00885978"/>
    <w:rsid w:val="00891925"/>
    <w:rsid w:val="008A413A"/>
    <w:rsid w:val="008A413F"/>
    <w:rsid w:val="008A6B34"/>
    <w:rsid w:val="008D7A9C"/>
    <w:rsid w:val="008E41C1"/>
    <w:rsid w:val="0091201A"/>
    <w:rsid w:val="009124CF"/>
    <w:rsid w:val="009330EB"/>
    <w:rsid w:val="0093746F"/>
    <w:rsid w:val="009438A3"/>
    <w:rsid w:val="00945332"/>
    <w:rsid w:val="009537AD"/>
    <w:rsid w:val="00955F45"/>
    <w:rsid w:val="009572D9"/>
    <w:rsid w:val="009761F7"/>
    <w:rsid w:val="009A21AA"/>
    <w:rsid w:val="009B1EAC"/>
    <w:rsid w:val="009B3B22"/>
    <w:rsid w:val="009B40EF"/>
    <w:rsid w:val="009B4919"/>
    <w:rsid w:val="009B79F9"/>
    <w:rsid w:val="009D6B03"/>
    <w:rsid w:val="009E7802"/>
    <w:rsid w:val="009F66D4"/>
    <w:rsid w:val="00A0428D"/>
    <w:rsid w:val="00A04EA8"/>
    <w:rsid w:val="00A11B96"/>
    <w:rsid w:val="00A207EA"/>
    <w:rsid w:val="00A53422"/>
    <w:rsid w:val="00A657A8"/>
    <w:rsid w:val="00A75DF6"/>
    <w:rsid w:val="00A81C2B"/>
    <w:rsid w:val="00A84739"/>
    <w:rsid w:val="00A84AC8"/>
    <w:rsid w:val="00A84DE6"/>
    <w:rsid w:val="00A901FE"/>
    <w:rsid w:val="00A94769"/>
    <w:rsid w:val="00A95267"/>
    <w:rsid w:val="00A966A4"/>
    <w:rsid w:val="00AB6E35"/>
    <w:rsid w:val="00AC1259"/>
    <w:rsid w:val="00AC40D5"/>
    <w:rsid w:val="00AC499F"/>
    <w:rsid w:val="00AD7DC8"/>
    <w:rsid w:val="00AE5463"/>
    <w:rsid w:val="00AE694F"/>
    <w:rsid w:val="00B0706F"/>
    <w:rsid w:val="00B40500"/>
    <w:rsid w:val="00B447CA"/>
    <w:rsid w:val="00B64A39"/>
    <w:rsid w:val="00B66744"/>
    <w:rsid w:val="00B7179D"/>
    <w:rsid w:val="00B729D2"/>
    <w:rsid w:val="00B75835"/>
    <w:rsid w:val="00B838FF"/>
    <w:rsid w:val="00B8479E"/>
    <w:rsid w:val="00B902D8"/>
    <w:rsid w:val="00B94341"/>
    <w:rsid w:val="00BA3991"/>
    <w:rsid w:val="00BA7522"/>
    <w:rsid w:val="00BC3A3C"/>
    <w:rsid w:val="00BC5219"/>
    <w:rsid w:val="00BE1691"/>
    <w:rsid w:val="00BF18DA"/>
    <w:rsid w:val="00BF6D86"/>
    <w:rsid w:val="00BF79C9"/>
    <w:rsid w:val="00C13335"/>
    <w:rsid w:val="00C300EA"/>
    <w:rsid w:val="00C3417E"/>
    <w:rsid w:val="00C408F0"/>
    <w:rsid w:val="00C4367A"/>
    <w:rsid w:val="00C4604C"/>
    <w:rsid w:val="00C47A5A"/>
    <w:rsid w:val="00C53E3B"/>
    <w:rsid w:val="00C562D5"/>
    <w:rsid w:val="00C5646A"/>
    <w:rsid w:val="00C5696E"/>
    <w:rsid w:val="00C62067"/>
    <w:rsid w:val="00C87FFB"/>
    <w:rsid w:val="00C93781"/>
    <w:rsid w:val="00C95945"/>
    <w:rsid w:val="00CA56D9"/>
    <w:rsid w:val="00CA6613"/>
    <w:rsid w:val="00CB2F06"/>
    <w:rsid w:val="00CB3BF1"/>
    <w:rsid w:val="00CC0622"/>
    <w:rsid w:val="00CC77A8"/>
    <w:rsid w:val="00CD1F1E"/>
    <w:rsid w:val="00CD21B4"/>
    <w:rsid w:val="00CD5389"/>
    <w:rsid w:val="00CF644E"/>
    <w:rsid w:val="00D00B69"/>
    <w:rsid w:val="00D100E5"/>
    <w:rsid w:val="00D13312"/>
    <w:rsid w:val="00D20510"/>
    <w:rsid w:val="00D243C7"/>
    <w:rsid w:val="00D2627F"/>
    <w:rsid w:val="00D318B2"/>
    <w:rsid w:val="00D46953"/>
    <w:rsid w:val="00D46D38"/>
    <w:rsid w:val="00D47D18"/>
    <w:rsid w:val="00D52ADA"/>
    <w:rsid w:val="00D6147B"/>
    <w:rsid w:val="00D63978"/>
    <w:rsid w:val="00D67978"/>
    <w:rsid w:val="00D75141"/>
    <w:rsid w:val="00D80A7A"/>
    <w:rsid w:val="00D84D4C"/>
    <w:rsid w:val="00D916DB"/>
    <w:rsid w:val="00D927A8"/>
    <w:rsid w:val="00DA13D1"/>
    <w:rsid w:val="00DA6B18"/>
    <w:rsid w:val="00DB150E"/>
    <w:rsid w:val="00DC18C6"/>
    <w:rsid w:val="00DD7DDD"/>
    <w:rsid w:val="00DF3CF4"/>
    <w:rsid w:val="00E12A5E"/>
    <w:rsid w:val="00E15B4A"/>
    <w:rsid w:val="00E16EB6"/>
    <w:rsid w:val="00E1754F"/>
    <w:rsid w:val="00E2036F"/>
    <w:rsid w:val="00E22247"/>
    <w:rsid w:val="00E235DD"/>
    <w:rsid w:val="00E25094"/>
    <w:rsid w:val="00E2763D"/>
    <w:rsid w:val="00E32FC2"/>
    <w:rsid w:val="00E339E3"/>
    <w:rsid w:val="00E458B4"/>
    <w:rsid w:val="00E46AA3"/>
    <w:rsid w:val="00E74352"/>
    <w:rsid w:val="00E7608A"/>
    <w:rsid w:val="00E8746C"/>
    <w:rsid w:val="00E933DA"/>
    <w:rsid w:val="00EA01DB"/>
    <w:rsid w:val="00EB4AA6"/>
    <w:rsid w:val="00EB4F48"/>
    <w:rsid w:val="00EB6CC1"/>
    <w:rsid w:val="00EC3A63"/>
    <w:rsid w:val="00ED5319"/>
    <w:rsid w:val="00EE1737"/>
    <w:rsid w:val="00EE2E96"/>
    <w:rsid w:val="00EE603B"/>
    <w:rsid w:val="00EF1636"/>
    <w:rsid w:val="00EF4200"/>
    <w:rsid w:val="00EF6ADB"/>
    <w:rsid w:val="00F01E1D"/>
    <w:rsid w:val="00F046FA"/>
    <w:rsid w:val="00F16A24"/>
    <w:rsid w:val="00F23B69"/>
    <w:rsid w:val="00F32384"/>
    <w:rsid w:val="00F33390"/>
    <w:rsid w:val="00F41E67"/>
    <w:rsid w:val="00F46710"/>
    <w:rsid w:val="00F523E2"/>
    <w:rsid w:val="00F55991"/>
    <w:rsid w:val="00F60C6A"/>
    <w:rsid w:val="00F62C8E"/>
    <w:rsid w:val="00F71DEE"/>
    <w:rsid w:val="00F74137"/>
    <w:rsid w:val="00F74B6B"/>
    <w:rsid w:val="00F75033"/>
    <w:rsid w:val="00F762FC"/>
    <w:rsid w:val="00F7699C"/>
    <w:rsid w:val="00F83007"/>
    <w:rsid w:val="00F9726F"/>
    <w:rsid w:val="00FA14F6"/>
    <w:rsid w:val="00FA6FCE"/>
    <w:rsid w:val="00FC4F3A"/>
    <w:rsid w:val="00FD5BDC"/>
    <w:rsid w:val="00FE539C"/>
    <w:rsid w:val="00FE635B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D2098-153F-4A73-84AD-4E4A28BF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  <w:style w:type="paragraph" w:styleId="a7">
    <w:name w:val="endnote text"/>
    <w:basedOn w:val="a"/>
    <w:link w:val="a8"/>
    <w:uiPriority w:val="99"/>
    <w:semiHidden/>
    <w:unhideWhenUsed/>
    <w:rsid w:val="0094533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5332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45332"/>
    <w:rPr>
      <w:vertAlign w:val="superscript"/>
    </w:rPr>
  </w:style>
  <w:style w:type="paragraph" w:customStyle="1" w:styleId="Default">
    <w:name w:val="Default"/>
    <w:rsid w:val="00E23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1E476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E4769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E4769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405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5728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B070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kiao.cert.roskazna.ru/prav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542DE-B2B4-4CCF-99DC-BA3EB634D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12</Pages>
  <Words>3250</Words>
  <Characters>18529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Постоялкина Анастасия Николаевна</cp:lastModifiedBy>
  <cp:revision>21</cp:revision>
  <cp:lastPrinted>2023-01-25T06:41:00Z</cp:lastPrinted>
  <dcterms:created xsi:type="dcterms:W3CDTF">2024-04-02T12:27:00Z</dcterms:created>
  <dcterms:modified xsi:type="dcterms:W3CDTF">2024-04-03T06:06:00Z</dcterms:modified>
</cp:coreProperties>
</file>